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system, their associated geographic characteristics, the input datasets utilised, and relevant methodologies employed for interpreting these classes. This guideline aims to ensure consistent and accurate mapping of coastal environments across the EEA39 countries, facilitating effective monitoring and management of these dynamic zones.</dc:description>
  <cp:keywords>Land cover change detection, Visual interpretation of VHR imagery, MAES ecosystem typology, Minimum Mapping Unit exceptions, Object delineation rules, Geometric inconsistencies between years, Coastal protection structures, Aquaculture pond identification, Dune stabilisation, Water level rules</cp:keywords>
  <dcterms:created xsi:type="dcterms:W3CDTF">2025-11-21T12:56:45Z</dcterms:created>
  <dcterms:modified xsi:type="dcterms:W3CDTF">2025-11-21T12:56:45Z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